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35"/>
          <w:rFonts w:ascii="方正小标宋简体" w:eastAsia="方正小标宋简体"/>
          <w:bCs w:val="0"/>
          <w:color w:val="000000"/>
          <w:sz w:val="36"/>
          <w:szCs w:val="36"/>
        </w:rPr>
      </w:pPr>
      <w:r>
        <w:rPr>
          <w:rStyle w:val="35"/>
          <w:rFonts w:hint="eastAsia" w:ascii="方正小标宋简体" w:eastAsia="方正小标宋简体"/>
          <w:b w:val="0"/>
          <w:color w:val="000000"/>
          <w:sz w:val="36"/>
          <w:szCs w:val="36"/>
        </w:rPr>
        <w:t>浙江省科学技术奖</w:t>
      </w:r>
      <w:r>
        <w:rPr>
          <w:rStyle w:val="35"/>
          <w:rFonts w:ascii="方正小标宋简体" w:eastAsia="方正小标宋简体"/>
          <w:b w:val="0"/>
          <w:color w:val="000000"/>
          <w:sz w:val="36"/>
          <w:szCs w:val="36"/>
        </w:rPr>
        <w:t>公示信息表</w:t>
      </w:r>
    </w:p>
    <w:p>
      <w:pPr>
        <w:spacing w:line="440" w:lineRule="exact"/>
        <w:rPr>
          <w:rFonts w:ascii="仿宋_GB2312" w:hAnsi="仿宋" w:eastAsia="仿宋_GB2312" w:cs="仿宋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仿宋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提名奖项：科学技术进步</w:t>
      </w:r>
      <w:r>
        <w:rPr>
          <w:rFonts w:hint="eastAsia" w:ascii="Calibri" w:hAnsi="Calibri" w:eastAsia="仿宋_GB2312" w:cs="Calibri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奖</w:t>
      </w:r>
    </w:p>
    <w:tbl>
      <w:tblPr>
        <w:tblStyle w:val="15"/>
        <w:tblW w:w="14340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9"/>
        <w:gridCol w:w="127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1589" w:type="dxa"/>
            <w:vAlign w:val="center"/>
          </w:tcPr>
          <w:p>
            <w:pPr>
              <w:jc w:val="center"/>
              <w:rPr>
                <w:rStyle w:val="35"/>
                <w:rFonts w:ascii="仿宋_GB2312" w:hAnsi="仿宋" w:eastAsia="仿宋_GB2312" w:cs="仿宋"/>
                <w:b w:val="0"/>
                <w:color w:val="000000"/>
                <w:sz w:val="28"/>
              </w:rPr>
            </w:pPr>
            <w:r>
              <w:rPr>
                <w:rStyle w:val="35"/>
                <w:rFonts w:hint="eastAsia" w:ascii="仿宋_GB2312" w:hAnsi="仿宋" w:eastAsia="仿宋_GB2312" w:cs="仿宋"/>
                <w:b w:val="0"/>
                <w:bCs w:val="0"/>
                <w:color w:val="000000"/>
                <w:sz w:val="28"/>
              </w:rPr>
              <w:t>成果名称</w:t>
            </w:r>
          </w:p>
        </w:tc>
        <w:tc>
          <w:tcPr>
            <w:tcW w:w="12751" w:type="dxa"/>
            <w:vAlign w:val="center"/>
          </w:tcPr>
          <w:p>
            <w:pPr>
              <w:jc w:val="center"/>
              <w:rPr>
                <w:rStyle w:val="35"/>
                <w:rFonts w:ascii="仿宋" w:hAnsi="仿宋" w:eastAsia="仿宋" w:cs="仿宋"/>
                <w:color w:val="000000"/>
                <w:sz w:val="28"/>
                <w:szCs w:val="20"/>
                <w:highlight w:val="yellow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30"/>
                <w:szCs w:val="30"/>
              </w:rPr>
              <w:t>混合动力车辆清洁排放控制关键技术及应用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1589" w:type="dxa"/>
            <w:vAlign w:val="center"/>
          </w:tcPr>
          <w:p>
            <w:pPr>
              <w:jc w:val="center"/>
              <w:rPr>
                <w:rStyle w:val="35"/>
                <w:rFonts w:ascii="仿宋_GB2312" w:hAnsi="仿宋" w:eastAsia="仿宋_GB2312" w:cs="仿宋"/>
                <w:b w:val="0"/>
                <w:color w:val="000000"/>
                <w:sz w:val="28"/>
              </w:rPr>
            </w:pPr>
            <w:r>
              <w:rPr>
                <w:rStyle w:val="35"/>
                <w:rFonts w:hint="eastAsia" w:ascii="仿宋_GB2312" w:hAnsi="仿宋" w:eastAsia="仿宋_GB2312" w:cs="仿宋"/>
                <w:b w:val="0"/>
                <w:bCs w:val="0"/>
                <w:color w:val="000000"/>
                <w:sz w:val="28"/>
              </w:rPr>
              <w:t>提名等级</w:t>
            </w:r>
          </w:p>
        </w:tc>
        <w:tc>
          <w:tcPr>
            <w:tcW w:w="12751" w:type="dxa"/>
            <w:vAlign w:val="center"/>
          </w:tcPr>
          <w:p>
            <w:pPr>
              <w:jc w:val="center"/>
              <w:rPr>
                <w:rStyle w:val="35"/>
                <w:rFonts w:ascii="仿宋_GB2312" w:hAnsi="仿宋" w:eastAsia="仿宋_GB2312" w:cs="仿宋"/>
                <w:b w:val="0"/>
                <w:color w:val="000000"/>
                <w:sz w:val="28"/>
              </w:rPr>
            </w:pPr>
            <w:r>
              <w:rPr>
                <w:rStyle w:val="35"/>
                <w:rFonts w:hint="eastAsia" w:ascii="Calibri" w:hAnsi="Calibri" w:eastAsia="仿宋_GB2312" w:cs="Calibri"/>
                <w:b w:val="0"/>
                <w:color w:val="000000"/>
                <w:sz w:val="28"/>
              </w:rPr>
              <w:t>一等奖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6" w:hRule="atLeast"/>
        </w:trPr>
        <w:tc>
          <w:tcPr>
            <w:tcW w:w="1589" w:type="dxa"/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" w:eastAsia="仿宋_GB2312" w:cs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  <w:t>提名书</w:t>
            </w:r>
          </w:p>
          <w:p>
            <w:pPr>
              <w:spacing w:line="440" w:lineRule="exact"/>
              <w:jc w:val="center"/>
              <w:rPr>
                <w:rFonts w:ascii="仿宋_GB2312" w:hAnsi="仿宋" w:eastAsia="仿宋_GB2312" w:cs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  <w:t>相关内容</w:t>
            </w:r>
          </w:p>
        </w:tc>
        <w:tc>
          <w:tcPr>
            <w:tcW w:w="12751" w:type="dxa"/>
            <w:vAlign w:val="center"/>
          </w:tcPr>
          <w:p>
            <w:pPr>
              <w:spacing w:line="440" w:lineRule="exact"/>
              <w:jc w:val="left"/>
              <w:rPr>
                <w:rFonts w:ascii="宋体" w:hAnsi="宋体" w:cs="Calibri"/>
                <w:bCs/>
                <w:color w:val="000000" w:themeColor="text1"/>
                <w:sz w:val="22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bCs/>
                <w:color w:val="000000" w:themeColor="text1"/>
                <w:sz w:val="22"/>
                <w:szCs w:val="18"/>
                <w14:textFill>
                  <w14:solidFill>
                    <w14:schemeClr w14:val="tx1"/>
                  </w14:solidFill>
                </w14:textFill>
              </w:rPr>
              <w:t>主要知识产权和标准规范目录</w:t>
            </w:r>
          </w:p>
          <w:tbl>
            <w:tblPr>
              <w:tblStyle w:val="15"/>
              <w:tblW w:w="12570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48"/>
              <w:gridCol w:w="1567"/>
              <w:gridCol w:w="630"/>
              <w:gridCol w:w="1656"/>
              <w:gridCol w:w="1131"/>
              <w:gridCol w:w="1335"/>
              <w:gridCol w:w="2220"/>
              <w:gridCol w:w="2159"/>
              <w:gridCol w:w="92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8" w:hRule="atLeast"/>
                <w:jc w:val="center"/>
              </w:trPr>
              <w:tc>
                <w:tcPr>
                  <w:tcW w:w="9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知识产权</w:t>
                  </w:r>
                </w:p>
                <w:p>
                  <w:pPr>
                    <w:jc w:val="center"/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（标准规范）类别</w:t>
                  </w:r>
                </w:p>
              </w:tc>
              <w:tc>
                <w:tcPr>
                  <w:tcW w:w="156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知识产权（标准规范）具体名称</w:t>
                  </w:r>
                </w:p>
              </w:tc>
              <w:tc>
                <w:tcPr>
                  <w:tcW w:w="63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国家</w:t>
                  </w:r>
                </w:p>
                <w:p>
                  <w:pPr>
                    <w:jc w:val="center"/>
                    <w:rPr>
                      <w:rFonts w:ascii="仿宋_GB2312" w:hAnsi="宋体" w:eastAsia="仿宋_GB2312"/>
                      <w:bCs/>
                      <w:snapToGrid w:val="0"/>
                      <w:color w:val="000000" w:themeColor="text1"/>
                      <w:kern w:val="0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hAnsi="宋体" w:eastAsia="仿宋_GB2312"/>
                      <w:bCs/>
                      <w:snapToGrid w:val="0"/>
                      <w:color w:val="000000" w:themeColor="text1"/>
                      <w:kern w:val="0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（地区）</w:t>
                  </w:r>
                </w:p>
              </w:tc>
              <w:tc>
                <w:tcPr>
                  <w:tcW w:w="16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授权号</w:t>
                  </w:r>
                </w:p>
                <w:p>
                  <w:pPr>
                    <w:jc w:val="center"/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（标准规范编号）</w:t>
                  </w:r>
                </w:p>
              </w:tc>
              <w:tc>
                <w:tcPr>
                  <w:tcW w:w="113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授权</w:t>
                  </w:r>
                </w:p>
                <w:p>
                  <w:pPr>
                    <w:jc w:val="center"/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（标准发布）</w:t>
                  </w:r>
                </w:p>
                <w:p>
                  <w:pPr>
                    <w:jc w:val="center"/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日期</w:t>
                  </w:r>
                </w:p>
              </w:tc>
              <w:tc>
                <w:tcPr>
                  <w:tcW w:w="133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证书编号（标准规范批准发布部门）</w:t>
                  </w:r>
                </w:p>
              </w:tc>
              <w:tc>
                <w:tcPr>
                  <w:tcW w:w="22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权利人（标准规范起草单位）</w:t>
                  </w:r>
                </w:p>
              </w:tc>
              <w:tc>
                <w:tcPr>
                  <w:tcW w:w="215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发明人（标准规范起草人）</w:t>
                  </w:r>
                </w:p>
              </w:tc>
              <w:tc>
                <w:tcPr>
                  <w:tcW w:w="9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发明专利（标准规范）有效状态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10" w:hRule="atLeast"/>
                <w:jc w:val="center"/>
              </w:trPr>
              <w:tc>
                <w:tcPr>
                  <w:tcW w:w="9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发明专利</w:t>
                  </w:r>
                </w:p>
              </w:tc>
              <w:tc>
                <w:tcPr>
                  <w:tcW w:w="156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一种电子活塞冷却组件控制方法、装置及汽车</w:t>
                  </w:r>
                </w:p>
              </w:tc>
              <w:tc>
                <w:tcPr>
                  <w:tcW w:w="63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中国</w:t>
                  </w:r>
                </w:p>
              </w:tc>
              <w:tc>
                <w:tcPr>
                  <w:tcW w:w="16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CN112709625B</w:t>
                  </w:r>
                </w:p>
              </w:tc>
              <w:tc>
                <w:tcPr>
                  <w:tcW w:w="113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2021.04.27</w:t>
                  </w:r>
                </w:p>
              </w:tc>
              <w:tc>
                <w:tcPr>
                  <w:tcW w:w="133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5</w:t>
                  </w:r>
                  <w:r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228860</w:t>
                  </w:r>
                </w:p>
              </w:tc>
              <w:tc>
                <w:tcPr>
                  <w:tcW w:w="22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宝鸡吉利发动机有限公司;浙江吉利控股集团有限公司</w:t>
                  </w:r>
                </w:p>
              </w:tc>
              <w:tc>
                <w:tcPr>
                  <w:tcW w:w="215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卢振涛;刘义强;金昶明;唐江;郭俊杰</w:t>
                  </w:r>
                </w:p>
              </w:tc>
              <w:tc>
                <w:tcPr>
                  <w:tcW w:w="9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授权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64" w:hRule="atLeast"/>
                <w:jc w:val="center"/>
              </w:trPr>
              <w:tc>
                <w:tcPr>
                  <w:tcW w:w="9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发明专利</w:t>
                  </w:r>
                </w:p>
              </w:tc>
              <w:tc>
                <w:tcPr>
                  <w:tcW w:w="156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一种防止水冷式冷却器下游混合气冷凝的方法及装置</w:t>
                  </w:r>
                </w:p>
              </w:tc>
              <w:tc>
                <w:tcPr>
                  <w:tcW w:w="63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中国</w:t>
                  </w:r>
                </w:p>
              </w:tc>
              <w:tc>
                <w:tcPr>
                  <w:tcW w:w="16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CN112796898B</w:t>
                  </w:r>
                </w:p>
              </w:tc>
              <w:tc>
                <w:tcPr>
                  <w:tcW w:w="113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2021.05.14</w:t>
                  </w:r>
                </w:p>
              </w:tc>
              <w:tc>
                <w:tcPr>
                  <w:tcW w:w="133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5</w:t>
                  </w:r>
                  <w:r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351047</w:t>
                  </w:r>
                </w:p>
              </w:tc>
              <w:tc>
                <w:tcPr>
                  <w:tcW w:w="22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浙江义利汽车零部件有限公司;浙江吉利控股集团有限公司</w:t>
                  </w:r>
                </w:p>
              </w:tc>
              <w:tc>
                <w:tcPr>
                  <w:tcW w:w="215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王文将;刘义强;金昶明;钱鹏飞</w:t>
                  </w:r>
                </w:p>
              </w:tc>
              <w:tc>
                <w:tcPr>
                  <w:tcW w:w="9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授权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47" w:hRule="atLeast"/>
                <w:jc w:val="center"/>
              </w:trPr>
              <w:tc>
                <w:tcPr>
                  <w:tcW w:w="9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发明专利</w:t>
                  </w:r>
                </w:p>
              </w:tc>
              <w:tc>
                <w:tcPr>
                  <w:tcW w:w="156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一种防止压气机上游混合气冷凝的方法及装置</w:t>
                  </w:r>
                </w:p>
              </w:tc>
              <w:tc>
                <w:tcPr>
                  <w:tcW w:w="63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中国</w:t>
                  </w:r>
                </w:p>
              </w:tc>
              <w:tc>
                <w:tcPr>
                  <w:tcW w:w="16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wordWrap w:val="0"/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CN112727615B</w:t>
                  </w:r>
                </w:p>
              </w:tc>
              <w:tc>
                <w:tcPr>
                  <w:tcW w:w="113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2021.04.30</w:t>
                  </w:r>
                </w:p>
              </w:tc>
              <w:tc>
                <w:tcPr>
                  <w:tcW w:w="133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5</w:t>
                  </w:r>
                  <w:r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483650</w:t>
                  </w:r>
                </w:p>
              </w:tc>
              <w:tc>
                <w:tcPr>
                  <w:tcW w:w="22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浙江义利汽车零部件有限公司;浙江吉利控股集团有限公司</w:t>
                  </w:r>
                </w:p>
              </w:tc>
              <w:tc>
                <w:tcPr>
                  <w:tcW w:w="215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王文将;刘义强;金昶明;钱鹏飞</w:t>
                  </w:r>
                </w:p>
              </w:tc>
              <w:tc>
                <w:tcPr>
                  <w:tcW w:w="9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授权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8" w:hRule="atLeast"/>
                <w:jc w:val="center"/>
              </w:trPr>
              <w:tc>
                <w:tcPr>
                  <w:tcW w:w="9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发明专利</w:t>
                  </w:r>
                </w:p>
              </w:tc>
              <w:tc>
                <w:tcPr>
                  <w:tcW w:w="156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一种缸内直喷汽油机瞬态燃油控制方法、装置及车辆</w:t>
                  </w:r>
                </w:p>
              </w:tc>
              <w:tc>
                <w:tcPr>
                  <w:tcW w:w="63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中国</w:t>
                  </w:r>
                </w:p>
              </w:tc>
              <w:tc>
                <w:tcPr>
                  <w:tcW w:w="16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CN111042942B</w:t>
                  </w:r>
                </w:p>
              </w:tc>
              <w:tc>
                <w:tcPr>
                  <w:tcW w:w="113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2020.04.21</w:t>
                  </w:r>
                </w:p>
              </w:tc>
              <w:tc>
                <w:tcPr>
                  <w:tcW w:w="133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5</w:t>
                  </w:r>
                  <w:r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359477</w:t>
                  </w:r>
                </w:p>
              </w:tc>
              <w:tc>
                <w:tcPr>
                  <w:tcW w:w="22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浙江锋锐发动机有限公司;浙江吉利控股集团有限公司</w:t>
                  </w:r>
                </w:p>
              </w:tc>
              <w:tc>
                <w:tcPr>
                  <w:tcW w:w="215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pStyle w:val="12"/>
                    <w:spacing w:before="0" w:beforeAutospacing="0" w:after="0" w:afterAutospacing="0"/>
                    <w:jc w:val="center"/>
                    <w:rPr>
                      <w:rFonts w:ascii="仿宋_GB2312" w:eastAsia="仿宋_GB2312" w:cs="Times New Roman"/>
                      <w:color w:val="000000" w:themeColor="text1"/>
                      <w:kern w:val="2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李宁;刘义强;金昶明;王文礼</w:t>
                  </w:r>
                </w:p>
              </w:tc>
              <w:tc>
                <w:tcPr>
                  <w:tcW w:w="9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授权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8" w:hRule="atLeast"/>
                <w:jc w:val="center"/>
              </w:trPr>
              <w:tc>
                <w:tcPr>
                  <w:tcW w:w="9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实用新型专利</w:t>
                  </w:r>
                </w:p>
              </w:tc>
              <w:tc>
                <w:tcPr>
                  <w:tcW w:w="156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一种汽油机稀薄燃烧尾气后处理系统及车辆</w:t>
                  </w:r>
                </w:p>
              </w:tc>
              <w:tc>
                <w:tcPr>
                  <w:tcW w:w="63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中国</w:t>
                  </w:r>
                </w:p>
              </w:tc>
              <w:tc>
                <w:tcPr>
                  <w:tcW w:w="16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wordWrap w:val="0"/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CN216240876U</w:t>
                  </w:r>
                </w:p>
              </w:tc>
              <w:tc>
                <w:tcPr>
                  <w:tcW w:w="113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2022.04.08</w:t>
                  </w:r>
                </w:p>
              </w:tc>
              <w:tc>
                <w:tcPr>
                  <w:tcW w:w="133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1</w:t>
                  </w:r>
                  <w:r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6225405</w:t>
                  </w:r>
                </w:p>
              </w:tc>
              <w:tc>
                <w:tcPr>
                  <w:tcW w:w="22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浙江吉利控股集团有限公司;宁波吉利罗佑发动机零部件有限公司</w:t>
                  </w:r>
                </w:p>
              </w:tc>
              <w:tc>
                <w:tcPr>
                  <w:tcW w:w="215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张淼;洪方明;徐立峰;韦虹;王瑞平;赵福成;肖逸阁</w:t>
                  </w:r>
                </w:p>
              </w:tc>
              <w:tc>
                <w:tcPr>
                  <w:tcW w:w="9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授权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8" w:hRule="atLeast"/>
                <w:jc w:val="center"/>
              </w:trPr>
              <w:tc>
                <w:tcPr>
                  <w:tcW w:w="9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发明专利</w:t>
                  </w:r>
                </w:p>
              </w:tc>
              <w:tc>
                <w:tcPr>
                  <w:tcW w:w="156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一种发动机启动的控制方法、装置及设备</w:t>
                  </w:r>
                </w:p>
              </w:tc>
              <w:tc>
                <w:tcPr>
                  <w:tcW w:w="63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中国</w:t>
                  </w:r>
                </w:p>
              </w:tc>
              <w:tc>
                <w:tcPr>
                  <w:tcW w:w="16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wordWrap w:val="0"/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CN111828189B</w:t>
                  </w:r>
                </w:p>
              </w:tc>
              <w:tc>
                <w:tcPr>
                  <w:tcW w:w="113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2020.10.27</w:t>
                  </w:r>
                </w:p>
              </w:tc>
              <w:tc>
                <w:tcPr>
                  <w:tcW w:w="133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5</w:t>
                  </w:r>
                  <w:r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361809</w:t>
                  </w:r>
                </w:p>
              </w:tc>
              <w:tc>
                <w:tcPr>
                  <w:tcW w:w="22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义乌吉利自动变速器有限公司;浙江吉利控股集团有限公司</w:t>
                  </w:r>
                </w:p>
              </w:tc>
              <w:tc>
                <w:tcPr>
                  <w:tcW w:w="215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乔志伟;刘义强;金昶明;戴正兴;唐江;郭俊杰</w:t>
                  </w:r>
                </w:p>
              </w:tc>
              <w:tc>
                <w:tcPr>
                  <w:tcW w:w="9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授权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71" w:hRule="atLeast"/>
                <w:jc w:val="center"/>
              </w:trPr>
              <w:tc>
                <w:tcPr>
                  <w:tcW w:w="94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实用新型专利</w:t>
                  </w:r>
                </w:p>
              </w:tc>
              <w:tc>
                <w:tcPr>
                  <w:tcW w:w="156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一种汽油发动机催化器电加热载体及陶瓷载体集成结构</w:t>
                  </w:r>
                </w:p>
              </w:tc>
              <w:tc>
                <w:tcPr>
                  <w:tcW w:w="63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中国</w:t>
                  </w:r>
                </w:p>
              </w:tc>
              <w:tc>
                <w:tcPr>
                  <w:tcW w:w="165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wordWrap w:val="0"/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CN215633266U</w:t>
                  </w:r>
                </w:p>
              </w:tc>
              <w:tc>
                <w:tcPr>
                  <w:tcW w:w="113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2022.01.25</w:t>
                  </w:r>
                </w:p>
              </w:tc>
              <w:tc>
                <w:tcPr>
                  <w:tcW w:w="133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1</w:t>
                  </w:r>
                  <w:r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5628405</w:t>
                  </w:r>
                </w:p>
              </w:tc>
              <w:tc>
                <w:tcPr>
                  <w:tcW w:w="222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义乌吉利动力总成有限公司;宁波吉利罗佑发动机零部件有限公司;浙江吉利动力总成有限公司;浙江吉利控股集团有限公司</w:t>
                  </w:r>
                </w:p>
              </w:tc>
              <w:tc>
                <w:tcPr>
                  <w:tcW w:w="215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陆经文;刘义强;张贵强;戴正兴;吴杰;潘凌腾;马荣春;王瑞平;肖逸阁</w:t>
                  </w:r>
                </w:p>
              </w:tc>
              <w:tc>
                <w:tcPr>
                  <w:tcW w:w="9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仿宋_GB2312" w:hAnsi="宋体" w:eastAsia="仿宋_GB2312" w:cs="___WRD_EMBED_SUB_40"/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仿宋_GB2312" w:eastAsia="仿宋_GB2312"/>
                    </w:rPr>
                    <w:t>授权</w:t>
                  </w:r>
                </w:p>
              </w:tc>
            </w:tr>
          </w:tbl>
          <w:p>
            <w:pPr>
              <w:spacing w:line="440" w:lineRule="exact"/>
              <w:jc w:val="left"/>
              <w:rPr>
                <w:rFonts w:ascii="宋体" w:hAnsi="宋体" w:cs="仿宋"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5" w:hRule="atLeast"/>
        </w:trPr>
        <w:tc>
          <w:tcPr>
            <w:tcW w:w="1589" w:type="dxa"/>
            <w:tcBorders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" w:eastAsia="仿宋_GB2312" w:cs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  <w:t>主要完成人</w:t>
            </w:r>
          </w:p>
        </w:tc>
        <w:tc>
          <w:tcPr>
            <w:tcW w:w="12751" w:type="dxa"/>
            <w:tcBorders>
              <w:left w:val="single" w:color="auto" w:sz="4" w:space="0"/>
            </w:tcBorders>
            <w:vAlign w:val="center"/>
          </w:tcPr>
          <w:p>
            <w:pPr>
              <w:spacing w:line="440" w:lineRule="exact"/>
              <w:rPr>
                <w:rFonts w:ascii="仿宋_GB2312" w:hAnsi="仿宋" w:eastAsia="仿宋_GB2312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tbl>
            <w:tblPr>
              <w:tblStyle w:val="15"/>
              <w:tblW w:w="11167" w:type="dxa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866"/>
              <w:gridCol w:w="1145"/>
              <w:gridCol w:w="2335"/>
              <w:gridCol w:w="4821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3" w:hRule="atLeast"/>
              </w:trPr>
              <w:tc>
                <w:tcPr>
                  <w:tcW w:w="286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姓名</w:t>
                  </w:r>
                </w:p>
              </w:tc>
              <w:tc>
                <w:tcPr>
                  <w:tcW w:w="1145" w:type="dxa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排名</w:t>
                  </w:r>
                </w:p>
              </w:tc>
              <w:tc>
                <w:tcPr>
                  <w:tcW w:w="2335" w:type="dxa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职称</w:t>
                  </w:r>
                </w:p>
              </w:tc>
              <w:tc>
                <w:tcPr>
                  <w:tcW w:w="4821" w:type="dxa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工作单位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3" w:hRule="atLeast"/>
              </w:trPr>
              <w:tc>
                <w:tcPr>
                  <w:tcW w:w="2866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刘义强</w:t>
                  </w:r>
                </w:p>
              </w:tc>
              <w:tc>
                <w:tcPr>
                  <w:tcW w:w="114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1</w:t>
                  </w:r>
                </w:p>
              </w:tc>
              <w:tc>
                <w:tcPr>
                  <w:tcW w:w="233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高级工程师</w:t>
                  </w:r>
                </w:p>
              </w:tc>
              <w:tc>
                <w:tcPr>
                  <w:tcW w:w="482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宁波吉利罗佑发动机零部件有限公司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3" w:hRule="atLeast"/>
              </w:trPr>
              <w:tc>
                <w:tcPr>
                  <w:tcW w:w="2866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赵福成</w:t>
                  </w:r>
                </w:p>
              </w:tc>
              <w:tc>
                <w:tcPr>
                  <w:tcW w:w="114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2</w:t>
                  </w:r>
                </w:p>
              </w:tc>
              <w:tc>
                <w:tcPr>
                  <w:tcW w:w="233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高级工程师</w:t>
                  </w:r>
                </w:p>
              </w:tc>
              <w:tc>
                <w:tcPr>
                  <w:tcW w:w="482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宁波吉利罗佑发动机零部件有限公司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3" w:hRule="atLeast"/>
              </w:trPr>
              <w:tc>
                <w:tcPr>
                  <w:tcW w:w="2866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戴正兴</w:t>
                  </w:r>
                </w:p>
              </w:tc>
              <w:tc>
                <w:tcPr>
                  <w:tcW w:w="114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3</w:t>
                  </w:r>
                </w:p>
              </w:tc>
              <w:tc>
                <w:tcPr>
                  <w:tcW w:w="233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工程师</w:t>
                  </w:r>
                </w:p>
              </w:tc>
              <w:tc>
                <w:tcPr>
                  <w:tcW w:w="482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宁波吉利罗佑发动机零部件有限公司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3" w:hRule="atLeast"/>
              </w:trPr>
              <w:tc>
                <w:tcPr>
                  <w:tcW w:w="2866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熊伟</w:t>
                  </w:r>
                </w:p>
              </w:tc>
              <w:tc>
                <w:tcPr>
                  <w:tcW w:w="114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4</w:t>
                  </w:r>
                </w:p>
              </w:tc>
              <w:tc>
                <w:tcPr>
                  <w:tcW w:w="233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教授</w:t>
                  </w:r>
                </w:p>
              </w:tc>
              <w:tc>
                <w:tcPr>
                  <w:tcW w:w="482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浙江大学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3" w:hRule="atLeast"/>
              </w:trPr>
              <w:tc>
                <w:tcPr>
                  <w:tcW w:w="2866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  <w:highlight w:val="yellow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王芳</w:t>
                  </w:r>
                </w:p>
              </w:tc>
              <w:tc>
                <w:tcPr>
                  <w:tcW w:w="114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  <w:highlight w:val="yellow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5</w:t>
                  </w:r>
                </w:p>
              </w:tc>
              <w:tc>
                <w:tcPr>
                  <w:tcW w:w="233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  <w:highlight w:val="yellow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副教授</w:t>
                  </w:r>
                </w:p>
              </w:tc>
              <w:tc>
                <w:tcPr>
                  <w:tcW w:w="482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  <w:highlight w:val="yellow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浙大城市学院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3" w:hRule="atLeast"/>
              </w:trPr>
              <w:tc>
                <w:tcPr>
                  <w:tcW w:w="2866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孙建军</w:t>
                  </w:r>
                </w:p>
              </w:tc>
              <w:tc>
                <w:tcPr>
                  <w:tcW w:w="114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6</w:t>
                  </w:r>
                </w:p>
              </w:tc>
              <w:tc>
                <w:tcPr>
                  <w:tcW w:w="233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高级工程师</w:t>
                  </w:r>
                </w:p>
              </w:tc>
              <w:tc>
                <w:tcPr>
                  <w:tcW w:w="482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宁波吉利罗佑发动机零部件有限公司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0" w:hRule="atLeast"/>
              </w:trPr>
              <w:tc>
                <w:tcPr>
                  <w:tcW w:w="2866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钱鹏飞</w:t>
                  </w:r>
                </w:p>
              </w:tc>
              <w:tc>
                <w:tcPr>
                  <w:tcW w:w="114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7</w:t>
                  </w:r>
                </w:p>
              </w:tc>
              <w:tc>
                <w:tcPr>
                  <w:tcW w:w="233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工程师</w:t>
                  </w:r>
                </w:p>
              </w:tc>
              <w:tc>
                <w:tcPr>
                  <w:tcW w:w="482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宁波吉利罗佑发动机零部件有限公司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3" w:hRule="atLeast"/>
              </w:trPr>
              <w:tc>
                <w:tcPr>
                  <w:tcW w:w="2866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李要彬</w:t>
                  </w:r>
                </w:p>
              </w:tc>
              <w:tc>
                <w:tcPr>
                  <w:tcW w:w="114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8</w:t>
                  </w:r>
                </w:p>
              </w:tc>
              <w:tc>
                <w:tcPr>
                  <w:tcW w:w="233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副研究员</w:t>
                  </w:r>
                </w:p>
              </w:tc>
              <w:tc>
                <w:tcPr>
                  <w:tcW w:w="482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中国科学院城市环境研究所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3" w:hRule="atLeast"/>
              </w:trPr>
              <w:tc>
                <w:tcPr>
                  <w:tcW w:w="2866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Xu Lifeng</w:t>
                  </w:r>
                </w:p>
              </w:tc>
              <w:tc>
                <w:tcPr>
                  <w:tcW w:w="114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9</w:t>
                  </w:r>
                </w:p>
              </w:tc>
              <w:tc>
                <w:tcPr>
                  <w:tcW w:w="233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浙江省“省级引才计划”</w:t>
                  </w:r>
                </w:p>
              </w:tc>
              <w:tc>
                <w:tcPr>
                  <w:tcW w:w="482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宁波吉利罗佑发动机零部件有限公司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3" w:hRule="atLeast"/>
              </w:trPr>
              <w:tc>
                <w:tcPr>
                  <w:tcW w:w="2866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韦虹</w:t>
                  </w:r>
                </w:p>
              </w:tc>
              <w:tc>
                <w:tcPr>
                  <w:tcW w:w="114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10</w:t>
                  </w:r>
                </w:p>
              </w:tc>
              <w:tc>
                <w:tcPr>
                  <w:tcW w:w="2335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副高级工程师</w:t>
                  </w:r>
                </w:p>
              </w:tc>
              <w:tc>
                <w:tcPr>
                  <w:tcW w:w="482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jc w:val="center"/>
                    <w:rPr>
                      <w:rFonts w:ascii="仿宋_GB2312" w:hAnsi="宋体" w:eastAsia="仿宋_GB2312" w:cs="宋体"/>
                      <w:color w:val="000000"/>
                      <w:kern w:val="0"/>
                      <w:szCs w:val="21"/>
                    </w:rPr>
                  </w:pPr>
                  <w:r>
                    <w:rPr>
                      <w:rFonts w:hint="eastAsia" w:ascii="仿宋_GB2312" w:hAnsi="宋体" w:eastAsia="仿宋_GB2312" w:cs="宋体"/>
                      <w:color w:val="000000"/>
                      <w:kern w:val="0"/>
                      <w:szCs w:val="21"/>
                    </w:rPr>
                    <w:t>宁波吉利罗佑发动机零部件有限公司</w:t>
                  </w:r>
                </w:p>
              </w:tc>
            </w:tr>
          </w:tbl>
          <w:p>
            <w:pPr>
              <w:spacing w:line="440" w:lineRule="exact"/>
              <w:rPr>
                <w:rFonts w:ascii="仿宋_GB2312" w:hAnsi="仿宋" w:eastAsia="仿宋_GB2312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40" w:lineRule="exact"/>
              <w:rPr>
                <w:rFonts w:ascii="仿宋_GB2312" w:hAnsi="仿宋" w:eastAsia="仿宋_GB2312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40" w:lineRule="exact"/>
              <w:rPr>
                <w:rFonts w:ascii="仿宋_GB2312" w:hAnsi="仿宋" w:eastAsia="仿宋_GB2312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2" w:hRule="atLeast"/>
        </w:trPr>
        <w:tc>
          <w:tcPr>
            <w:tcW w:w="1589" w:type="dxa"/>
            <w:tcBorders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" w:eastAsia="仿宋_GB2312" w:cs="仿宋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主要完成单位</w:t>
            </w:r>
          </w:p>
        </w:tc>
        <w:tc>
          <w:tcPr>
            <w:tcW w:w="12751" w:type="dxa"/>
            <w:tcBorders>
              <w:left w:val="single" w:color="auto" w:sz="4" w:space="0"/>
            </w:tcBorders>
            <w:vAlign w:val="center"/>
          </w:tcPr>
          <w:p>
            <w:pPr>
              <w:spacing w:line="440" w:lineRule="exact"/>
              <w:jc w:val="left"/>
              <w:rPr>
                <w:rFonts w:ascii="仿宋_GB2312" w:hAnsi="仿宋" w:eastAsia="仿宋_GB2312" w:cs="仿宋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1.单位名称：浙江吉利控股集团有限公司</w:t>
            </w:r>
          </w:p>
          <w:p>
            <w:pPr>
              <w:spacing w:line="440" w:lineRule="exact"/>
              <w:jc w:val="left"/>
              <w:rPr>
                <w:rFonts w:ascii="仿宋_GB2312" w:hAnsi="仿宋" w:eastAsia="仿宋_GB2312" w:cs="仿宋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2.单位名称：宁波吉利罗佑发动机零部件有限公司</w:t>
            </w:r>
          </w:p>
          <w:p>
            <w:pPr>
              <w:spacing w:line="440" w:lineRule="exact"/>
              <w:jc w:val="left"/>
              <w:rPr>
                <w:rFonts w:ascii="仿宋_GB2312" w:hAnsi="仿宋" w:eastAsia="仿宋_GB2312" w:cs="仿宋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3.单位名称：浙江大学</w:t>
            </w:r>
          </w:p>
          <w:p>
            <w:pPr>
              <w:spacing w:line="440" w:lineRule="exact"/>
              <w:jc w:val="left"/>
              <w:rPr>
                <w:rFonts w:ascii="仿宋_GB2312" w:hAnsi="仿宋" w:eastAsia="仿宋_GB2312" w:cs="仿宋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4.单位名称：浙大城市学院</w:t>
            </w:r>
          </w:p>
          <w:p>
            <w:pPr>
              <w:spacing w:line="440" w:lineRule="exact"/>
              <w:jc w:val="left"/>
              <w:rPr>
                <w:rFonts w:ascii="仿宋_GB2312" w:hAnsi="仿宋" w:eastAsia="仿宋_GB2312" w:cs="仿宋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5.单位名称：中国科学院城市环境研究所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1589" w:type="dxa"/>
            <w:vAlign w:val="center"/>
          </w:tcPr>
          <w:p>
            <w:pPr>
              <w:jc w:val="center"/>
              <w:rPr>
                <w:rStyle w:val="35"/>
                <w:rFonts w:ascii="仿宋_GB2312" w:eastAsia="仿宋_GB2312"/>
                <w:b w:val="0"/>
                <w:color w:val="000000"/>
                <w:sz w:val="28"/>
                <w:szCs w:val="28"/>
              </w:rPr>
            </w:pPr>
            <w:r>
              <w:rPr>
                <w:rStyle w:val="35"/>
                <w:rFonts w:hint="eastAsia" w:ascii="仿宋_GB2312" w:eastAsia="仿宋_GB2312"/>
                <w:b w:val="0"/>
                <w:color w:val="000000"/>
                <w:sz w:val="28"/>
                <w:szCs w:val="28"/>
              </w:rPr>
              <w:t>提名单位</w:t>
            </w:r>
          </w:p>
        </w:tc>
        <w:tc>
          <w:tcPr>
            <w:tcW w:w="12751" w:type="dxa"/>
            <w:vAlign w:val="center"/>
          </w:tcPr>
          <w:p>
            <w:pPr>
              <w:contextualSpacing/>
              <w:jc w:val="center"/>
              <w:rPr>
                <w:rStyle w:val="35"/>
                <w:rFonts w:ascii="仿宋_GB2312" w:eastAsia="仿宋_GB2312"/>
                <w:b w:val="0"/>
                <w:color w:val="000000"/>
                <w:sz w:val="28"/>
                <w:szCs w:val="28"/>
              </w:rPr>
            </w:pPr>
            <w:r>
              <w:rPr>
                <w:rStyle w:val="35"/>
                <w:rFonts w:hint="eastAsia" w:ascii="仿宋_GB2312" w:eastAsia="仿宋_GB2312"/>
                <w:b w:val="0"/>
                <w:color w:val="000000"/>
                <w:sz w:val="28"/>
                <w:szCs w:val="28"/>
              </w:rPr>
              <w:t>杭州市人民政府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1589" w:type="dxa"/>
            <w:vAlign w:val="center"/>
          </w:tcPr>
          <w:p>
            <w:pPr>
              <w:jc w:val="center"/>
              <w:rPr>
                <w:rStyle w:val="35"/>
                <w:rFonts w:ascii="仿宋_GB2312" w:eastAsia="仿宋_GB2312"/>
                <w:b w:val="0"/>
                <w:color w:val="000000"/>
                <w:sz w:val="28"/>
                <w:szCs w:val="28"/>
              </w:rPr>
            </w:pPr>
            <w:r>
              <w:rPr>
                <w:rStyle w:val="35"/>
                <w:rFonts w:hint="eastAsia" w:ascii="仿宋_GB2312" w:eastAsia="仿宋_GB2312"/>
                <w:b w:val="0"/>
                <w:color w:val="000000"/>
                <w:sz w:val="28"/>
                <w:szCs w:val="28"/>
              </w:rPr>
              <w:t>提名意见</w:t>
            </w:r>
          </w:p>
        </w:tc>
        <w:tc>
          <w:tcPr>
            <w:tcW w:w="12751" w:type="dxa"/>
            <w:vAlign w:val="center"/>
          </w:tcPr>
          <w:p>
            <w:pPr>
              <w:contextualSpacing/>
              <w:jc w:val="center"/>
              <w:rPr>
                <w:rStyle w:val="35"/>
                <w:rFonts w:ascii="仿宋_GB2312" w:eastAsia="仿宋_GB2312"/>
                <w:b w:val="0"/>
                <w:color w:val="000000"/>
                <w:sz w:val="28"/>
                <w:szCs w:val="28"/>
              </w:rPr>
            </w:pPr>
            <w:r>
              <w:rPr>
                <w:rStyle w:val="35"/>
                <w:rFonts w:hint="eastAsia" w:ascii="仿宋_GB2312" w:eastAsia="仿宋_GB2312"/>
                <w:b w:val="0"/>
                <w:color w:val="000000"/>
                <w:sz w:val="28"/>
                <w:szCs w:val="28"/>
              </w:rPr>
              <w:t>同意申报</w:t>
            </w:r>
          </w:p>
        </w:tc>
      </w:tr>
    </w:tbl>
    <w:p>
      <w:pPr>
        <w:adjustRightInd w:val="0"/>
        <w:snapToGrid w:val="0"/>
        <w:spacing w:before="156" w:beforeLines="50" w:line="560" w:lineRule="exact"/>
        <w:rPr>
          <w:rFonts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_GB2312" w:hAnsi="宋体" w:eastAsia="仿宋_GB2312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公示时间：202</w:t>
      </w:r>
      <w:r>
        <w:rPr>
          <w:rFonts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28</w:t>
      </w:r>
      <w:r>
        <w:rPr>
          <w:rFonts w:hint="eastAsia"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日至</w:t>
      </w:r>
      <w:r>
        <w:rPr>
          <w:rFonts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日，共公示7日。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公示期间内如对项目的真实性、可行性、科学性等方面有异议，可以电话联系或以书面形式反映。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仿宋" w:hAnsi="仿宋" w:eastAsia="仿宋" w:cs="微软雅黑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微软雅黑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联系电话：</w:t>
      </w:r>
      <w:r>
        <w:rPr>
          <w:rFonts w:hint="eastAsia" w:ascii="仿宋" w:hAnsi="仿宋" w:eastAsia="仿宋" w:cs="微软雅黑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15868412650</w:t>
      </w:r>
      <w:bookmarkStart w:id="0" w:name="_GoBack"/>
      <w:bookmarkEnd w:id="0"/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仿宋" w:hAnsi="仿宋" w:eastAsia="仿宋" w:cs="微软雅黑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微软雅黑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联 系 人：</w:t>
      </w:r>
      <w:r>
        <w:rPr>
          <w:rFonts w:hint="eastAsia" w:ascii="仿宋" w:hAnsi="仿宋" w:eastAsia="仿宋" w:cs="微软雅黑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胡琬颖</w:t>
      </w:r>
    </w:p>
    <w:p>
      <w:pPr>
        <w:adjustRightInd w:val="0"/>
        <w:snapToGrid w:val="0"/>
        <w:spacing w:line="560" w:lineRule="exact"/>
        <w:ind w:right="1280" w:firstLine="8320" w:firstLineChars="2600"/>
        <w:jc w:val="center"/>
        <w:rPr>
          <w:rFonts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浙江大学</w:t>
      </w:r>
      <w:r>
        <w:rPr>
          <w:rFonts w:hint="eastAsia" w:ascii="仿宋" w:hAnsi="仿宋" w:eastAsia="仿宋" w:cs="微软雅黑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质量管理研究中心</w:t>
      </w:r>
      <w:r>
        <w:rPr>
          <w:rFonts w:hint="eastAsia"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hint="eastAsia"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                  </w:t>
      </w:r>
    </w:p>
    <w:p>
      <w:pPr>
        <w:adjustRightInd w:val="0"/>
        <w:snapToGrid w:val="0"/>
        <w:spacing w:line="560" w:lineRule="exact"/>
        <w:ind w:firstLine="960" w:firstLineChars="300"/>
        <w:rPr>
          <w:rFonts w:ascii="仿宋" w:hAnsi="仿宋" w:eastAsia="仿宋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                                    </w:t>
      </w:r>
      <w:r>
        <w:rPr>
          <w:rFonts w:hint="eastAsia" w:ascii="仿宋" w:hAnsi="仿宋" w:eastAsia="仿宋" w:cs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二〇二三年二月</w:t>
      </w:r>
    </w:p>
    <w:sectPr>
      <w:headerReference r:id="rId5" w:type="first"/>
      <w:headerReference r:id="rId3" w:type="default"/>
      <w:footerReference r:id="rId6" w:type="default"/>
      <w:headerReference r:id="rId4" w:type="even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F2B48BB-BB88-4EE3-B97B-BA8173BF0C5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5BED860-9A31-4BB0-A628-DA099EA66E3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2490134-C925-4154-822D-88963DFE911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C9CF421-FFEB-428B-8692-5B6FB0FB09A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FE3DA0A-B172-4920-92BB-F347A963B157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EE150606-A571-4C1B-A16B-EEE8D0CE06A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95221FC8-F1CB-42E4-8F8F-37C00DD58797}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6B461DF-F8B8-4F02-93CE-D91306D774C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D45F0964-7EDB-4E3D-95A9-DC67BDF851D5}"/>
  </w:font>
  <w:font w:name="___WRD_EMBED_SUB_40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10" w:fontKey="{88EE4FB3-A87E-4E21-8E70-00A1364A709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1" w:fontKey="{AEA6C46A-7ADC-4439-9549-D57448723C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>
        <w:pPr>
          <w:pStyle w:val="8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4</w:t>
        </w:r>
        <w:r>
          <w:rPr>
            <w:sz w:val="21"/>
            <w:szCs w:val="21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420" w:hanging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JkY2MxN2NmYTY1YjMzZDUzMmViNDA1NzY5NjI0ZTQifQ=="/>
  </w:docVars>
  <w:rsids>
    <w:rsidRoot w:val="007C28FF"/>
    <w:rsid w:val="00001E4C"/>
    <w:rsid w:val="00007BBE"/>
    <w:rsid w:val="00015650"/>
    <w:rsid w:val="000165DC"/>
    <w:rsid w:val="00031E44"/>
    <w:rsid w:val="00033288"/>
    <w:rsid w:val="0004004D"/>
    <w:rsid w:val="0004749A"/>
    <w:rsid w:val="00051BE3"/>
    <w:rsid w:val="00067E32"/>
    <w:rsid w:val="00075A1D"/>
    <w:rsid w:val="000A0FE4"/>
    <w:rsid w:val="000B3C24"/>
    <w:rsid w:val="000B70B3"/>
    <w:rsid w:val="000F1229"/>
    <w:rsid w:val="000F6066"/>
    <w:rsid w:val="000F6B39"/>
    <w:rsid w:val="0012430D"/>
    <w:rsid w:val="0013794E"/>
    <w:rsid w:val="00153E23"/>
    <w:rsid w:val="00154376"/>
    <w:rsid w:val="001553CE"/>
    <w:rsid w:val="001614FC"/>
    <w:rsid w:val="0017168F"/>
    <w:rsid w:val="00171F1E"/>
    <w:rsid w:val="0017215C"/>
    <w:rsid w:val="00172167"/>
    <w:rsid w:val="001774CB"/>
    <w:rsid w:val="00192701"/>
    <w:rsid w:val="001A5554"/>
    <w:rsid w:val="001A55E6"/>
    <w:rsid w:val="001B454D"/>
    <w:rsid w:val="001C4D6D"/>
    <w:rsid w:val="001D3908"/>
    <w:rsid w:val="001E1BEB"/>
    <w:rsid w:val="001F7F40"/>
    <w:rsid w:val="00204846"/>
    <w:rsid w:val="00212129"/>
    <w:rsid w:val="00213CE9"/>
    <w:rsid w:val="002242B0"/>
    <w:rsid w:val="002247F4"/>
    <w:rsid w:val="00230FE9"/>
    <w:rsid w:val="00247A49"/>
    <w:rsid w:val="00251B21"/>
    <w:rsid w:val="002579D1"/>
    <w:rsid w:val="00267E0F"/>
    <w:rsid w:val="002745F8"/>
    <w:rsid w:val="00274845"/>
    <w:rsid w:val="00283031"/>
    <w:rsid w:val="0029509E"/>
    <w:rsid w:val="00296134"/>
    <w:rsid w:val="002A7955"/>
    <w:rsid w:val="002B289F"/>
    <w:rsid w:val="002B3198"/>
    <w:rsid w:val="002C2FE0"/>
    <w:rsid w:val="002D1FA7"/>
    <w:rsid w:val="002E188F"/>
    <w:rsid w:val="002E42A8"/>
    <w:rsid w:val="002F1851"/>
    <w:rsid w:val="002F6E4A"/>
    <w:rsid w:val="00311F89"/>
    <w:rsid w:val="003125EF"/>
    <w:rsid w:val="00326352"/>
    <w:rsid w:val="00330554"/>
    <w:rsid w:val="00340314"/>
    <w:rsid w:val="00343DF4"/>
    <w:rsid w:val="003473A5"/>
    <w:rsid w:val="00347614"/>
    <w:rsid w:val="00363C7E"/>
    <w:rsid w:val="00370977"/>
    <w:rsid w:val="00382214"/>
    <w:rsid w:val="003A08CF"/>
    <w:rsid w:val="003A466E"/>
    <w:rsid w:val="003B0906"/>
    <w:rsid w:val="003B3345"/>
    <w:rsid w:val="003C1234"/>
    <w:rsid w:val="003F1E9D"/>
    <w:rsid w:val="003F76A0"/>
    <w:rsid w:val="00401E30"/>
    <w:rsid w:val="004179C8"/>
    <w:rsid w:val="00427A6E"/>
    <w:rsid w:val="004300EE"/>
    <w:rsid w:val="00444A55"/>
    <w:rsid w:val="0044688D"/>
    <w:rsid w:val="0044760A"/>
    <w:rsid w:val="00453528"/>
    <w:rsid w:val="00453C0E"/>
    <w:rsid w:val="00461A90"/>
    <w:rsid w:val="00476257"/>
    <w:rsid w:val="00484A1D"/>
    <w:rsid w:val="00491B30"/>
    <w:rsid w:val="00492EAC"/>
    <w:rsid w:val="004A6419"/>
    <w:rsid w:val="004A6BD2"/>
    <w:rsid w:val="004B531C"/>
    <w:rsid w:val="004B71BF"/>
    <w:rsid w:val="004C2337"/>
    <w:rsid w:val="004D3106"/>
    <w:rsid w:val="004D33D3"/>
    <w:rsid w:val="004D55B5"/>
    <w:rsid w:val="004E36AB"/>
    <w:rsid w:val="004F503B"/>
    <w:rsid w:val="004F551A"/>
    <w:rsid w:val="005002DF"/>
    <w:rsid w:val="00500982"/>
    <w:rsid w:val="00500EBD"/>
    <w:rsid w:val="00504232"/>
    <w:rsid w:val="00510C66"/>
    <w:rsid w:val="0051372C"/>
    <w:rsid w:val="005222FD"/>
    <w:rsid w:val="00526964"/>
    <w:rsid w:val="00532D5A"/>
    <w:rsid w:val="005354E4"/>
    <w:rsid w:val="00555B09"/>
    <w:rsid w:val="005663D6"/>
    <w:rsid w:val="00570701"/>
    <w:rsid w:val="00572167"/>
    <w:rsid w:val="0057414B"/>
    <w:rsid w:val="0057576E"/>
    <w:rsid w:val="00591EA5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49A6"/>
    <w:rsid w:val="005E6D32"/>
    <w:rsid w:val="00600FA4"/>
    <w:rsid w:val="006016C4"/>
    <w:rsid w:val="00605720"/>
    <w:rsid w:val="00610237"/>
    <w:rsid w:val="00611BDC"/>
    <w:rsid w:val="00614722"/>
    <w:rsid w:val="006177DC"/>
    <w:rsid w:val="00625162"/>
    <w:rsid w:val="00626815"/>
    <w:rsid w:val="00643B2E"/>
    <w:rsid w:val="006616A1"/>
    <w:rsid w:val="00670053"/>
    <w:rsid w:val="00673E71"/>
    <w:rsid w:val="00694DDB"/>
    <w:rsid w:val="00695490"/>
    <w:rsid w:val="006A390F"/>
    <w:rsid w:val="006A580A"/>
    <w:rsid w:val="006B2558"/>
    <w:rsid w:val="006B29F1"/>
    <w:rsid w:val="006C528F"/>
    <w:rsid w:val="006C691E"/>
    <w:rsid w:val="006F18A7"/>
    <w:rsid w:val="006F5EED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6D75"/>
    <w:rsid w:val="00760A58"/>
    <w:rsid w:val="00763073"/>
    <w:rsid w:val="00767A99"/>
    <w:rsid w:val="00793C8C"/>
    <w:rsid w:val="00793E7F"/>
    <w:rsid w:val="00794B04"/>
    <w:rsid w:val="0079610B"/>
    <w:rsid w:val="00797739"/>
    <w:rsid w:val="007B7CAA"/>
    <w:rsid w:val="007C28FF"/>
    <w:rsid w:val="007C5AC5"/>
    <w:rsid w:val="007D26E7"/>
    <w:rsid w:val="007D58D1"/>
    <w:rsid w:val="007D68D7"/>
    <w:rsid w:val="007E17CF"/>
    <w:rsid w:val="007E42CA"/>
    <w:rsid w:val="007F5A15"/>
    <w:rsid w:val="00813105"/>
    <w:rsid w:val="00813788"/>
    <w:rsid w:val="00815E7A"/>
    <w:rsid w:val="00822B10"/>
    <w:rsid w:val="008316C7"/>
    <w:rsid w:val="00832F80"/>
    <w:rsid w:val="00833452"/>
    <w:rsid w:val="00834CE8"/>
    <w:rsid w:val="0083551E"/>
    <w:rsid w:val="00845F36"/>
    <w:rsid w:val="008527A7"/>
    <w:rsid w:val="00853603"/>
    <w:rsid w:val="008550E7"/>
    <w:rsid w:val="00856D92"/>
    <w:rsid w:val="0086047F"/>
    <w:rsid w:val="008666C1"/>
    <w:rsid w:val="00866773"/>
    <w:rsid w:val="008706BC"/>
    <w:rsid w:val="00872CCF"/>
    <w:rsid w:val="00894724"/>
    <w:rsid w:val="008A37FE"/>
    <w:rsid w:val="008C0F63"/>
    <w:rsid w:val="008C5A84"/>
    <w:rsid w:val="008E4429"/>
    <w:rsid w:val="0090595F"/>
    <w:rsid w:val="0090670A"/>
    <w:rsid w:val="009245A6"/>
    <w:rsid w:val="00942CCA"/>
    <w:rsid w:val="0094603A"/>
    <w:rsid w:val="00947118"/>
    <w:rsid w:val="009529F5"/>
    <w:rsid w:val="00952EC5"/>
    <w:rsid w:val="009607CA"/>
    <w:rsid w:val="009728CB"/>
    <w:rsid w:val="00975273"/>
    <w:rsid w:val="0098148B"/>
    <w:rsid w:val="00983F16"/>
    <w:rsid w:val="009846E8"/>
    <w:rsid w:val="00985B39"/>
    <w:rsid w:val="009866EC"/>
    <w:rsid w:val="0099382A"/>
    <w:rsid w:val="00993CCF"/>
    <w:rsid w:val="009A32E9"/>
    <w:rsid w:val="009A6289"/>
    <w:rsid w:val="009D1070"/>
    <w:rsid w:val="009D3350"/>
    <w:rsid w:val="009F0766"/>
    <w:rsid w:val="009F4B40"/>
    <w:rsid w:val="00A11F99"/>
    <w:rsid w:val="00A132E2"/>
    <w:rsid w:val="00A156D9"/>
    <w:rsid w:val="00A243BC"/>
    <w:rsid w:val="00A36061"/>
    <w:rsid w:val="00A402C6"/>
    <w:rsid w:val="00A70F4C"/>
    <w:rsid w:val="00A71746"/>
    <w:rsid w:val="00AA6478"/>
    <w:rsid w:val="00AA6A67"/>
    <w:rsid w:val="00AB2670"/>
    <w:rsid w:val="00AB2B0F"/>
    <w:rsid w:val="00AB7631"/>
    <w:rsid w:val="00AC096E"/>
    <w:rsid w:val="00AD7D6F"/>
    <w:rsid w:val="00AF0A71"/>
    <w:rsid w:val="00AF71D2"/>
    <w:rsid w:val="00B0469B"/>
    <w:rsid w:val="00B127DF"/>
    <w:rsid w:val="00B13C47"/>
    <w:rsid w:val="00B14566"/>
    <w:rsid w:val="00B17650"/>
    <w:rsid w:val="00B249EC"/>
    <w:rsid w:val="00B24D94"/>
    <w:rsid w:val="00B268E1"/>
    <w:rsid w:val="00B269D7"/>
    <w:rsid w:val="00B43F7F"/>
    <w:rsid w:val="00B4705E"/>
    <w:rsid w:val="00B651CC"/>
    <w:rsid w:val="00B73F27"/>
    <w:rsid w:val="00B74C14"/>
    <w:rsid w:val="00B80A7F"/>
    <w:rsid w:val="00B92BAD"/>
    <w:rsid w:val="00B9520A"/>
    <w:rsid w:val="00B979F5"/>
    <w:rsid w:val="00BA07A7"/>
    <w:rsid w:val="00BA29D5"/>
    <w:rsid w:val="00BA3056"/>
    <w:rsid w:val="00BB47F3"/>
    <w:rsid w:val="00BB6C40"/>
    <w:rsid w:val="00BD0ED0"/>
    <w:rsid w:val="00BE3BBB"/>
    <w:rsid w:val="00BE7259"/>
    <w:rsid w:val="00C10571"/>
    <w:rsid w:val="00C24E7B"/>
    <w:rsid w:val="00C26A49"/>
    <w:rsid w:val="00C36E42"/>
    <w:rsid w:val="00C51E74"/>
    <w:rsid w:val="00C52425"/>
    <w:rsid w:val="00C555AC"/>
    <w:rsid w:val="00C56CDE"/>
    <w:rsid w:val="00C5764E"/>
    <w:rsid w:val="00C64274"/>
    <w:rsid w:val="00C65487"/>
    <w:rsid w:val="00C65987"/>
    <w:rsid w:val="00C74F01"/>
    <w:rsid w:val="00C968BF"/>
    <w:rsid w:val="00CA0BB3"/>
    <w:rsid w:val="00CA0F9C"/>
    <w:rsid w:val="00CB7617"/>
    <w:rsid w:val="00CE7048"/>
    <w:rsid w:val="00D06294"/>
    <w:rsid w:val="00D170C8"/>
    <w:rsid w:val="00D20CA5"/>
    <w:rsid w:val="00D22F7F"/>
    <w:rsid w:val="00D259B4"/>
    <w:rsid w:val="00D27104"/>
    <w:rsid w:val="00D35DA8"/>
    <w:rsid w:val="00D37FD0"/>
    <w:rsid w:val="00D4719D"/>
    <w:rsid w:val="00D619CB"/>
    <w:rsid w:val="00D66E92"/>
    <w:rsid w:val="00D7103C"/>
    <w:rsid w:val="00D76DA8"/>
    <w:rsid w:val="00D76EB9"/>
    <w:rsid w:val="00D82E92"/>
    <w:rsid w:val="00D96053"/>
    <w:rsid w:val="00DC0F80"/>
    <w:rsid w:val="00DE0BF8"/>
    <w:rsid w:val="00DF2AD8"/>
    <w:rsid w:val="00E066BD"/>
    <w:rsid w:val="00E1736F"/>
    <w:rsid w:val="00E17FF5"/>
    <w:rsid w:val="00E3162A"/>
    <w:rsid w:val="00E377A4"/>
    <w:rsid w:val="00E45A33"/>
    <w:rsid w:val="00E51962"/>
    <w:rsid w:val="00E5280E"/>
    <w:rsid w:val="00E5401A"/>
    <w:rsid w:val="00E56172"/>
    <w:rsid w:val="00E730DF"/>
    <w:rsid w:val="00E754A7"/>
    <w:rsid w:val="00E773F0"/>
    <w:rsid w:val="00E80A05"/>
    <w:rsid w:val="00E831DF"/>
    <w:rsid w:val="00E83D4E"/>
    <w:rsid w:val="00E84C25"/>
    <w:rsid w:val="00E84FF9"/>
    <w:rsid w:val="00E93BC2"/>
    <w:rsid w:val="00EA7020"/>
    <w:rsid w:val="00EB68DB"/>
    <w:rsid w:val="00EE0CE1"/>
    <w:rsid w:val="00EF79B0"/>
    <w:rsid w:val="00F143B1"/>
    <w:rsid w:val="00F23CF0"/>
    <w:rsid w:val="00F45942"/>
    <w:rsid w:val="00F45AE1"/>
    <w:rsid w:val="00F5192E"/>
    <w:rsid w:val="00F53F01"/>
    <w:rsid w:val="00F57D63"/>
    <w:rsid w:val="00F640B5"/>
    <w:rsid w:val="00F711B9"/>
    <w:rsid w:val="00F765BA"/>
    <w:rsid w:val="00F81F40"/>
    <w:rsid w:val="00F90DFB"/>
    <w:rsid w:val="00F91089"/>
    <w:rsid w:val="00F94DE6"/>
    <w:rsid w:val="00FA33E4"/>
    <w:rsid w:val="00FB0D99"/>
    <w:rsid w:val="00FB5471"/>
    <w:rsid w:val="00FC18D8"/>
    <w:rsid w:val="00FC7BB3"/>
    <w:rsid w:val="00FC7D4F"/>
    <w:rsid w:val="00FD0CCE"/>
    <w:rsid w:val="00FE69B2"/>
    <w:rsid w:val="00FE6FDA"/>
    <w:rsid w:val="00FF48B9"/>
    <w:rsid w:val="00FF49EB"/>
    <w:rsid w:val="02883661"/>
    <w:rsid w:val="04A9605B"/>
    <w:rsid w:val="063B5B78"/>
    <w:rsid w:val="08E33793"/>
    <w:rsid w:val="09434D9D"/>
    <w:rsid w:val="0A694752"/>
    <w:rsid w:val="0DF07EE3"/>
    <w:rsid w:val="0E643518"/>
    <w:rsid w:val="10DD4EBB"/>
    <w:rsid w:val="16693DC2"/>
    <w:rsid w:val="16AD7FB9"/>
    <w:rsid w:val="183F1493"/>
    <w:rsid w:val="18FC4FBA"/>
    <w:rsid w:val="19AF3334"/>
    <w:rsid w:val="1AAB4A91"/>
    <w:rsid w:val="1B0E4ACA"/>
    <w:rsid w:val="1B8B48E8"/>
    <w:rsid w:val="1C9808FD"/>
    <w:rsid w:val="22873147"/>
    <w:rsid w:val="229233C9"/>
    <w:rsid w:val="23737E65"/>
    <w:rsid w:val="23DA218B"/>
    <w:rsid w:val="27143262"/>
    <w:rsid w:val="2A213392"/>
    <w:rsid w:val="2A5700B2"/>
    <w:rsid w:val="2AC96FF6"/>
    <w:rsid w:val="2B5E7BEB"/>
    <w:rsid w:val="2D5304A2"/>
    <w:rsid w:val="2D68079A"/>
    <w:rsid w:val="2DF700D9"/>
    <w:rsid w:val="2E4550FC"/>
    <w:rsid w:val="2E514683"/>
    <w:rsid w:val="32C1444F"/>
    <w:rsid w:val="376D011C"/>
    <w:rsid w:val="38891DB8"/>
    <w:rsid w:val="3ABA7D5B"/>
    <w:rsid w:val="3C4F4F38"/>
    <w:rsid w:val="3CE416AE"/>
    <w:rsid w:val="43D025F5"/>
    <w:rsid w:val="472E36B4"/>
    <w:rsid w:val="48B76D8F"/>
    <w:rsid w:val="49DD2383"/>
    <w:rsid w:val="57E61A10"/>
    <w:rsid w:val="58D36AC3"/>
    <w:rsid w:val="594E097A"/>
    <w:rsid w:val="59F65C7E"/>
    <w:rsid w:val="5B9A4CA7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F5FF1"/>
    <w:rsid w:val="688D6DBF"/>
    <w:rsid w:val="6A2A1384"/>
    <w:rsid w:val="6B5E0AAF"/>
    <w:rsid w:val="6BD31768"/>
    <w:rsid w:val="6D103417"/>
    <w:rsid w:val="6D342528"/>
    <w:rsid w:val="6DED540B"/>
    <w:rsid w:val="6EAF0133"/>
    <w:rsid w:val="6EC205F2"/>
    <w:rsid w:val="74507E06"/>
    <w:rsid w:val="74FD2CB8"/>
    <w:rsid w:val="76413F68"/>
    <w:rsid w:val="765C6DB5"/>
    <w:rsid w:val="77210E87"/>
    <w:rsid w:val="799A7C87"/>
    <w:rsid w:val="7A6B49A6"/>
    <w:rsid w:val="7BAE59D5"/>
    <w:rsid w:val="7BEC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semiHidden/>
    <w:unhideWhenUsed/>
    <w:qFormat/>
    <w:uiPriority w:val="99"/>
    <w:pPr>
      <w:widowControl/>
      <w:jc w:val="left"/>
    </w:pPr>
  </w:style>
  <w:style w:type="paragraph" w:styleId="5">
    <w:name w:val="Plain Text"/>
    <w:basedOn w:val="1"/>
    <w:link w:val="29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6">
    <w:name w:val="Body Text Indent 2"/>
    <w:basedOn w:val="1"/>
    <w:link w:val="32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7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3">
    <w:name w:val="Title"/>
    <w:basedOn w:val="1"/>
    <w:next w:val="1"/>
    <w:link w:val="33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4">
    <w:name w:val="annotation subject"/>
    <w:basedOn w:val="4"/>
    <w:next w:val="4"/>
    <w:link w:val="34"/>
    <w:semiHidden/>
    <w:unhideWhenUsed/>
    <w:qFormat/>
    <w:uiPriority w:val="99"/>
    <w:rPr>
      <w:b/>
      <w:bCs/>
    </w:rPr>
  </w:style>
  <w:style w:type="table" w:styleId="16">
    <w:name w:val="Table Grid"/>
    <w:basedOn w:val="1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page number"/>
    <w:basedOn w:val="17"/>
    <w:qFormat/>
    <w:uiPriority w:val="0"/>
  </w:style>
  <w:style w:type="character" w:styleId="20">
    <w:name w:val="Hyperlink"/>
    <w:qFormat/>
    <w:uiPriority w:val="99"/>
    <w:rPr>
      <w:color w:val="0000FF"/>
      <w:u w:val="single"/>
    </w:rPr>
  </w:style>
  <w:style w:type="character" w:styleId="21">
    <w:name w:val="annotation reference"/>
    <w:basedOn w:val="17"/>
    <w:semiHidden/>
    <w:unhideWhenUsed/>
    <w:qFormat/>
    <w:uiPriority w:val="99"/>
    <w:rPr>
      <w:sz w:val="21"/>
      <w:szCs w:val="21"/>
    </w:rPr>
  </w:style>
  <w:style w:type="character" w:customStyle="1" w:styleId="22">
    <w:name w:val="标题 1 字符"/>
    <w:basedOn w:val="17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3">
    <w:name w:val="标题 2 字符"/>
    <w:basedOn w:val="1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页眉 字符"/>
    <w:basedOn w:val="17"/>
    <w:link w:val="9"/>
    <w:qFormat/>
    <w:uiPriority w:val="0"/>
    <w:rPr>
      <w:sz w:val="18"/>
      <w:szCs w:val="18"/>
    </w:rPr>
  </w:style>
  <w:style w:type="character" w:customStyle="1" w:styleId="25">
    <w:name w:val="页脚 字符"/>
    <w:basedOn w:val="17"/>
    <w:link w:val="8"/>
    <w:qFormat/>
    <w:uiPriority w:val="99"/>
    <w:rPr>
      <w:sz w:val="18"/>
      <w:szCs w:val="18"/>
    </w:rPr>
  </w:style>
  <w:style w:type="paragraph" w:customStyle="1" w:styleId="26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7">
    <w:name w:val="批注框文本 字符"/>
    <w:basedOn w:val="17"/>
    <w:link w:val="7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8">
    <w:name w:val="批注文字 字符"/>
    <w:basedOn w:val="17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29">
    <w:name w:val="纯文本 字符"/>
    <w:basedOn w:val="17"/>
    <w:link w:val="5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0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1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2">
    <w:name w:val="正文文本缩进 2 字符"/>
    <w:basedOn w:val="17"/>
    <w:link w:val="6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3">
    <w:name w:val="标题 字符"/>
    <w:basedOn w:val="17"/>
    <w:link w:val="13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4">
    <w:name w:val="批注主题 字符"/>
    <w:basedOn w:val="28"/>
    <w:link w:val="14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5">
    <w:name w:val="title1"/>
    <w:qFormat/>
    <w:uiPriority w:val="0"/>
    <w:rPr>
      <w:b/>
      <w:bCs/>
      <w:color w:val="9999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EAC91-4ACC-4B36-A001-4F4FA1FC04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1189</Words>
  <Characters>1393</Characters>
  <Lines>11</Lines>
  <Paragraphs>3</Paragraphs>
  <TotalTime>47</TotalTime>
  <ScaleCrop>false</ScaleCrop>
  <LinksUpToDate>false</LinksUpToDate>
  <CharactersWithSpaces>1506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2023-02-27T11:44:00Z</dcterms:created>
  <dc:creator>胡胜链</dc:creator>
  <cp:lastModifiedBy>Joyce</cp:lastModifiedBy>
  <cp:lastPrinted>2020-08-19T04:13:00Z</cp:lastPrinted>
  <dcterms:modified xsi:type="dcterms:W3CDTF">2023-03-02T05:30:28Z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A0D7BE52473A4D1C93D051DD6688C904</vt:lpwstr>
  </property>
</Properties>
</file>